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57" w:rsidRPr="00AF7A57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378023"/>
      <w:r w:rsidRPr="00AF7A5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AF7A57" w:rsidRPr="00AF7A57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A5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Ярославской области</w:t>
      </w:r>
    </w:p>
    <w:p w:rsidR="00AF7A57" w:rsidRPr="00AF7A57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A57">
        <w:rPr>
          <w:rFonts w:ascii="Times New Roman" w:hAnsi="Times New Roman" w:cs="Times New Roman"/>
          <w:b/>
          <w:sz w:val="24"/>
          <w:szCs w:val="24"/>
          <w:lang w:val="ru-RU"/>
        </w:rPr>
        <w:t>МКУ Управления образования администрации Пошехонского МР</w:t>
      </w:r>
    </w:p>
    <w:p w:rsidR="00AF7A57" w:rsidRPr="00AF7A57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7A57" w:rsidRPr="00AF7A57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7A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МБОУ </w:t>
      </w:r>
      <w:proofErr w:type="spellStart"/>
      <w:r w:rsidRPr="00AF7A57">
        <w:rPr>
          <w:rFonts w:ascii="Times New Roman" w:hAnsi="Times New Roman" w:cs="Times New Roman"/>
          <w:b/>
          <w:sz w:val="24"/>
          <w:szCs w:val="24"/>
          <w:lang w:val="ru-RU"/>
        </w:rPr>
        <w:t>Гаютинская</w:t>
      </w:r>
      <w:proofErr w:type="spellEnd"/>
      <w:r w:rsidRPr="00AF7A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СШ</w:t>
      </w: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389"/>
        <w:gridCol w:w="4841"/>
      </w:tblGrid>
      <w:tr w:rsidR="00AF7A57" w:rsidRPr="00AF7A57" w:rsidTr="00AF7A57">
        <w:tc>
          <w:tcPr>
            <w:tcW w:w="3114" w:type="dxa"/>
          </w:tcPr>
          <w:p w:rsidR="00AF7A57" w:rsidRPr="00AF7A57" w:rsidRDefault="00AF7A57" w:rsidP="00AF7A57">
            <w:pPr>
              <w:spacing w:after="0"/>
              <w:ind w:left="120"/>
              <w:rPr>
                <w:lang w:val="ru-RU"/>
              </w:rPr>
            </w:pPr>
          </w:p>
        </w:tc>
        <w:tc>
          <w:tcPr>
            <w:tcW w:w="1389" w:type="dxa"/>
          </w:tcPr>
          <w:p w:rsidR="00AF7A57" w:rsidRPr="00AF7A57" w:rsidRDefault="00AF7A57" w:rsidP="00AF7A57">
            <w:pPr>
              <w:spacing w:after="0"/>
              <w:ind w:left="120"/>
              <w:rPr>
                <w:lang w:val="ru-RU"/>
              </w:rPr>
            </w:pPr>
          </w:p>
        </w:tc>
        <w:tc>
          <w:tcPr>
            <w:tcW w:w="4841" w:type="dxa"/>
          </w:tcPr>
          <w:p w:rsidR="00AF7A57" w:rsidRPr="00AF7A57" w:rsidRDefault="00AF7A57" w:rsidP="00AF7A57">
            <w:pPr>
              <w:spacing w:after="0"/>
              <w:ind w:left="120"/>
              <w:rPr>
                <w:lang w:val="ru-RU"/>
              </w:rPr>
            </w:pPr>
            <w:r w:rsidRPr="00AF7A57">
              <w:rPr>
                <w:lang w:val="ru-RU"/>
              </w:rPr>
              <w:t>УТВЕРЖДЕНО</w:t>
            </w:r>
          </w:p>
          <w:p w:rsidR="00AF7A57" w:rsidRPr="00AF7A57" w:rsidRDefault="00AF7A57" w:rsidP="00AF7A57">
            <w:pPr>
              <w:spacing w:after="0"/>
              <w:ind w:left="120"/>
              <w:rPr>
                <w:lang w:val="ru-RU"/>
              </w:rPr>
            </w:pPr>
            <w:r w:rsidRPr="00AF7A57">
              <w:rPr>
                <w:lang w:val="ru-RU"/>
              </w:rPr>
              <w:t xml:space="preserve">Директор школы </w:t>
            </w:r>
          </w:p>
          <w:p w:rsidR="00AF7A57" w:rsidRPr="00AF7A57" w:rsidRDefault="00AF7A57" w:rsidP="00AF7A57">
            <w:pPr>
              <w:spacing w:after="0"/>
              <w:ind w:left="120"/>
              <w:rPr>
                <w:lang w:val="ru-RU"/>
              </w:rPr>
            </w:pPr>
            <w:r w:rsidRPr="00AF7A57">
              <w:rPr>
                <w:lang w:val="ru-RU"/>
              </w:rPr>
              <w:t xml:space="preserve"> ___________ А.Н. </w:t>
            </w:r>
            <w:proofErr w:type="spellStart"/>
            <w:r w:rsidRPr="00AF7A57">
              <w:rPr>
                <w:lang w:val="ru-RU"/>
              </w:rPr>
              <w:t>Колюхов</w:t>
            </w:r>
            <w:proofErr w:type="spellEnd"/>
          </w:p>
          <w:p w:rsidR="00AF7A57" w:rsidRPr="00AF7A57" w:rsidRDefault="00AF7A57" w:rsidP="00AF7A57">
            <w:pPr>
              <w:spacing w:after="0"/>
              <w:ind w:left="120"/>
              <w:rPr>
                <w:lang w:val="ru-RU"/>
              </w:rPr>
            </w:pPr>
            <w:r w:rsidRPr="00AF7A57">
              <w:rPr>
                <w:lang w:val="ru-RU"/>
              </w:rPr>
              <w:t>Приказ№ _59 от «_01__» сентября 2023</w:t>
            </w:r>
          </w:p>
        </w:tc>
      </w:tr>
    </w:tbl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jc w:val="center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  <w:bookmarkStart w:id="1" w:name="_GoBack"/>
      <w:bookmarkEnd w:id="1"/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202050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02050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AF7A57" w:rsidRPr="00202050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F7A57" w:rsidRPr="00202050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02050">
        <w:rPr>
          <w:rFonts w:ascii="Times New Roman" w:hAnsi="Times New Roman" w:cs="Times New Roman"/>
          <w:b/>
          <w:sz w:val="36"/>
          <w:szCs w:val="36"/>
          <w:lang w:val="ru-RU"/>
        </w:rPr>
        <w:t>учебного предмета «Химия. Базовый уровень»</w:t>
      </w:r>
    </w:p>
    <w:p w:rsidR="00AF7A57" w:rsidRPr="00202050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02050">
        <w:rPr>
          <w:rFonts w:ascii="Times New Roman" w:hAnsi="Times New Roman" w:cs="Times New Roman"/>
          <w:sz w:val="36"/>
          <w:szCs w:val="36"/>
          <w:lang w:val="ru-RU"/>
        </w:rPr>
        <w:t>для обучающихся 8-9 классов</w:t>
      </w:r>
    </w:p>
    <w:p w:rsidR="00AF7A57" w:rsidRPr="00AF7A57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F7A57" w:rsidRPr="00202050" w:rsidRDefault="00AF7A57" w:rsidP="00AF7A5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050">
        <w:rPr>
          <w:rFonts w:ascii="Times New Roman" w:hAnsi="Times New Roman" w:cs="Times New Roman"/>
          <w:sz w:val="28"/>
          <w:szCs w:val="28"/>
          <w:lang w:val="ru-RU"/>
        </w:rPr>
        <w:t xml:space="preserve">Выполнила </w:t>
      </w:r>
      <w:proofErr w:type="spellStart"/>
      <w:r w:rsidRPr="00202050">
        <w:rPr>
          <w:rFonts w:ascii="Times New Roman" w:hAnsi="Times New Roman" w:cs="Times New Roman"/>
          <w:sz w:val="28"/>
          <w:szCs w:val="28"/>
          <w:lang w:val="ru-RU"/>
        </w:rPr>
        <w:t>Колоскова</w:t>
      </w:r>
      <w:proofErr w:type="spellEnd"/>
      <w:r w:rsidRPr="00202050">
        <w:rPr>
          <w:rFonts w:ascii="Times New Roman" w:hAnsi="Times New Roman" w:cs="Times New Roman"/>
          <w:sz w:val="28"/>
          <w:szCs w:val="28"/>
          <w:lang w:val="ru-RU"/>
        </w:rPr>
        <w:t xml:space="preserve"> Н.И.</w:t>
      </w:r>
    </w:p>
    <w:p w:rsidR="00AF7A57" w:rsidRPr="00202050" w:rsidRDefault="00AF7A57" w:rsidP="00AF7A5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050">
        <w:rPr>
          <w:rFonts w:ascii="Times New Roman" w:hAnsi="Times New Roman" w:cs="Times New Roman"/>
          <w:sz w:val="28"/>
          <w:szCs w:val="28"/>
          <w:lang w:val="ru-RU"/>
        </w:rPr>
        <w:t>учитель химии</w:t>
      </w:r>
    </w:p>
    <w:p w:rsidR="00AF7A57" w:rsidRPr="00AF7A57" w:rsidRDefault="00AF7A57" w:rsidP="00AF7A57">
      <w:pPr>
        <w:spacing w:after="0"/>
        <w:ind w:left="120"/>
        <w:jc w:val="right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lang w:val="ru-RU"/>
        </w:rPr>
      </w:pPr>
    </w:p>
    <w:p w:rsidR="00AF7A57" w:rsidRDefault="00AF7A57" w:rsidP="00AF7A57">
      <w:pPr>
        <w:spacing w:after="0"/>
        <w:ind w:left="120"/>
        <w:rPr>
          <w:sz w:val="28"/>
          <w:szCs w:val="28"/>
          <w:lang w:val="ru-RU"/>
        </w:rPr>
      </w:pPr>
    </w:p>
    <w:p w:rsidR="00AF7A57" w:rsidRDefault="00AF7A57" w:rsidP="00AF7A57">
      <w:pPr>
        <w:spacing w:after="0"/>
        <w:ind w:left="120"/>
        <w:rPr>
          <w:sz w:val="28"/>
          <w:szCs w:val="28"/>
          <w:lang w:val="ru-RU"/>
        </w:rPr>
      </w:pPr>
    </w:p>
    <w:p w:rsidR="00AF7A57" w:rsidRDefault="00AF7A57" w:rsidP="00AF7A57">
      <w:pPr>
        <w:spacing w:after="0"/>
        <w:ind w:left="120"/>
        <w:rPr>
          <w:sz w:val="28"/>
          <w:szCs w:val="28"/>
          <w:lang w:val="ru-RU"/>
        </w:rPr>
      </w:pPr>
    </w:p>
    <w:p w:rsidR="00AF7A57" w:rsidRDefault="00AF7A57" w:rsidP="00AF7A57">
      <w:pPr>
        <w:spacing w:after="0"/>
        <w:ind w:left="120"/>
        <w:rPr>
          <w:sz w:val="28"/>
          <w:szCs w:val="28"/>
          <w:lang w:val="ru-RU"/>
        </w:rPr>
      </w:pPr>
    </w:p>
    <w:p w:rsidR="00AF7A57" w:rsidRPr="00AF7A57" w:rsidRDefault="00AF7A57" w:rsidP="00AF7A57">
      <w:pPr>
        <w:spacing w:after="0"/>
        <w:ind w:left="120"/>
        <w:rPr>
          <w:sz w:val="28"/>
          <w:szCs w:val="28"/>
          <w:lang w:val="ru-RU"/>
        </w:rPr>
      </w:pPr>
    </w:p>
    <w:p w:rsidR="00AF7A57" w:rsidRPr="00AF7A57" w:rsidRDefault="00AF7A57" w:rsidP="00AF7A5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7A57">
        <w:rPr>
          <w:rFonts w:ascii="Times New Roman" w:hAnsi="Times New Roman" w:cs="Times New Roman"/>
          <w:sz w:val="28"/>
          <w:szCs w:val="28"/>
          <w:lang w:val="ru-RU"/>
        </w:rPr>
        <w:t>Гаютино- 2023</w:t>
      </w:r>
    </w:p>
    <w:p w:rsidR="008E677B" w:rsidRPr="004C0FFD" w:rsidRDefault="00AF7A57" w:rsidP="00AF7A57">
      <w:pPr>
        <w:rPr>
          <w:lang w:val="ru-RU"/>
        </w:rPr>
      </w:pPr>
      <w:r w:rsidRPr="00AF7A57">
        <w:rPr>
          <w:sz w:val="28"/>
          <w:szCs w:val="28"/>
          <w:lang w:val="ru-RU"/>
        </w:rPr>
        <w:br w:type="page"/>
      </w:r>
      <w:bookmarkStart w:id="2" w:name="block-2378024"/>
      <w:bookmarkEnd w:id="0"/>
      <w:r w:rsidRPr="004C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677B" w:rsidRPr="004C0FFD" w:rsidRDefault="00AF7A57">
      <w:pPr>
        <w:spacing w:after="0" w:line="264" w:lineRule="auto"/>
        <w:ind w:left="12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E677B" w:rsidRDefault="00AF7A57">
      <w:pPr>
        <w:spacing w:after="0" w:line="264" w:lineRule="auto"/>
        <w:ind w:firstLine="600"/>
        <w:jc w:val="both"/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000000"/>
          <w:sz w:val="28"/>
          <w:lang w:val="ru-RU"/>
        </w:rPr>
        <w:t>–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Calibri" w:hAnsi="Calibri"/>
          <w:color w:val="333333"/>
          <w:sz w:val="28"/>
          <w:lang w:val="ru-RU"/>
        </w:rPr>
        <w:t>–</w:t>
      </w:r>
      <w:r w:rsidRPr="004C0FF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C0FFD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4C0FFD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4C0FFD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4C0FF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C0FFD">
        <w:rPr>
          <w:rFonts w:ascii="Times New Roman" w:hAnsi="Times New Roman"/>
          <w:color w:val="000000"/>
          <w:sz w:val="28"/>
          <w:lang w:val="ru-RU"/>
        </w:rPr>
        <w:t>‌</w:t>
      </w:r>
    </w:p>
    <w:p w:rsidR="008E677B" w:rsidRPr="004C0FFD" w:rsidRDefault="00AF7A57">
      <w:pPr>
        <w:spacing w:after="0" w:line="264" w:lineRule="auto"/>
        <w:ind w:left="12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8E677B" w:rsidRPr="004C0FFD" w:rsidRDefault="00AF7A57">
      <w:pPr>
        <w:spacing w:after="0" w:line="264" w:lineRule="auto"/>
        <w:ind w:left="12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‌</w:t>
      </w:r>
    </w:p>
    <w:p w:rsidR="008E677B" w:rsidRPr="004C0FFD" w:rsidRDefault="008E677B">
      <w:pPr>
        <w:rPr>
          <w:lang w:val="ru-RU"/>
        </w:rPr>
        <w:sectPr w:rsidR="008E677B" w:rsidRPr="004C0FFD">
          <w:pgSz w:w="11906" w:h="16383"/>
          <w:pgMar w:top="1134" w:right="850" w:bottom="1134" w:left="1701" w:header="720" w:footer="720" w:gutter="0"/>
          <w:cols w:space="720"/>
        </w:sectPr>
      </w:pPr>
    </w:p>
    <w:p w:rsidR="008E677B" w:rsidRPr="004C0FFD" w:rsidRDefault="00AF7A57">
      <w:pPr>
        <w:spacing w:after="0" w:line="264" w:lineRule="auto"/>
        <w:ind w:left="120"/>
        <w:jc w:val="both"/>
        <w:rPr>
          <w:lang w:val="ru-RU"/>
        </w:rPr>
      </w:pPr>
      <w:bookmarkStart w:id="4" w:name="block-2378025"/>
      <w:bookmarkEnd w:id="2"/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E677B" w:rsidRPr="004C0FFD" w:rsidRDefault="00AF7A57">
      <w:pPr>
        <w:spacing w:after="0" w:line="264" w:lineRule="auto"/>
        <w:ind w:left="12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spellStart"/>
      <w:r>
        <w:rPr>
          <w:rFonts w:ascii="Times New Roman" w:hAnsi="Times New Roman"/>
          <w:color w:val="000000"/>
          <w:sz w:val="28"/>
        </w:rPr>
        <w:t>Моль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C0FFD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4C0FFD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).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C0FFD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растворов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C0FFD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C0FFD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4C0FFD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Соляная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химические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4C0FFD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4C0FFD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4C0FFD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C0FFD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4C0FFD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4C0FFD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4C0FF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C0FFD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4C0FF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C0FFD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4C0FFD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4C0FF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E677B" w:rsidRPr="004C0FFD" w:rsidRDefault="008E677B">
      <w:pPr>
        <w:rPr>
          <w:lang w:val="ru-RU"/>
        </w:rPr>
        <w:sectPr w:rsidR="008E677B" w:rsidRPr="004C0FFD">
          <w:pgSz w:w="11906" w:h="16383"/>
          <w:pgMar w:top="1134" w:right="850" w:bottom="1134" w:left="1701" w:header="720" w:footer="720" w:gutter="0"/>
          <w:cols w:space="720"/>
        </w:sectPr>
      </w:pPr>
    </w:p>
    <w:p w:rsidR="008E677B" w:rsidRPr="004C0FFD" w:rsidRDefault="00AF7A57">
      <w:pPr>
        <w:spacing w:after="0" w:line="264" w:lineRule="auto"/>
        <w:ind w:left="120"/>
        <w:jc w:val="both"/>
        <w:rPr>
          <w:lang w:val="ru-RU"/>
        </w:rPr>
      </w:pPr>
      <w:bookmarkStart w:id="5" w:name="block-2378027"/>
      <w:bookmarkEnd w:id="4"/>
      <w:r w:rsidRPr="004C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8E677B" w:rsidRPr="004C0FFD" w:rsidRDefault="008E677B">
      <w:pPr>
        <w:spacing w:after="0" w:line="264" w:lineRule="auto"/>
        <w:ind w:left="120"/>
        <w:jc w:val="both"/>
        <w:rPr>
          <w:lang w:val="ru-RU"/>
        </w:rPr>
      </w:pP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C0FFD">
        <w:rPr>
          <w:rFonts w:ascii="Times New Roman" w:hAnsi="Times New Roman"/>
          <w:color w:val="000000"/>
          <w:sz w:val="28"/>
          <w:lang w:val="ru-RU"/>
        </w:rPr>
        <w:t>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C0FFD">
        <w:rPr>
          <w:rFonts w:ascii="Times New Roman" w:hAnsi="Times New Roman"/>
          <w:color w:val="000000"/>
          <w:sz w:val="28"/>
          <w:lang w:val="ru-RU"/>
        </w:rPr>
        <w:t>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4C0FF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4C0FFD">
        <w:rPr>
          <w:rFonts w:ascii="Times New Roman" w:hAnsi="Times New Roman"/>
          <w:color w:val="000000"/>
          <w:sz w:val="28"/>
          <w:lang w:val="ru-RU"/>
        </w:rPr>
        <w:t>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C0FFD">
        <w:rPr>
          <w:rFonts w:ascii="Times New Roman" w:hAnsi="Times New Roman"/>
          <w:color w:val="000000"/>
          <w:sz w:val="28"/>
          <w:lang w:val="ru-RU"/>
        </w:rPr>
        <w:t>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8E677B" w:rsidRPr="004C0FFD" w:rsidRDefault="00AF7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8E677B" w:rsidRPr="004C0FFD" w:rsidRDefault="00AF7A57">
      <w:pPr>
        <w:spacing w:after="0" w:line="264" w:lineRule="auto"/>
        <w:ind w:firstLine="600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C0FFD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4C0FF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4C0FFD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4C0FF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C0FFD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4C0FFD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4C0FFD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8E677B" w:rsidRPr="004C0FFD" w:rsidRDefault="00AF7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FFD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8E677B" w:rsidRPr="004C0FFD" w:rsidRDefault="008E677B">
      <w:pPr>
        <w:rPr>
          <w:lang w:val="ru-RU"/>
        </w:rPr>
        <w:sectPr w:rsidR="008E677B" w:rsidRPr="004C0FFD">
          <w:pgSz w:w="11906" w:h="16383"/>
          <w:pgMar w:top="1134" w:right="850" w:bottom="1134" w:left="1701" w:header="720" w:footer="720" w:gutter="0"/>
          <w:cols w:space="720"/>
        </w:sectPr>
      </w:pPr>
    </w:p>
    <w:p w:rsidR="008E677B" w:rsidRDefault="00AF7A57">
      <w:pPr>
        <w:spacing w:after="0"/>
        <w:ind w:left="120"/>
      </w:pPr>
      <w:bookmarkStart w:id="9" w:name="block-2378022"/>
      <w:bookmarkEnd w:id="5"/>
      <w:r w:rsidRPr="004C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677B" w:rsidRDefault="00AF7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2718"/>
        <w:gridCol w:w="1133"/>
        <w:gridCol w:w="2064"/>
        <w:gridCol w:w="2141"/>
        <w:gridCol w:w="3166"/>
        <w:gridCol w:w="1839"/>
      </w:tblGrid>
      <w:tr w:rsidR="00AF7A57" w:rsidTr="00AF7A57">
        <w:trPr>
          <w:trHeight w:val="144"/>
          <w:tblCellSpacing w:w="20" w:type="nil"/>
        </w:trPr>
        <w:tc>
          <w:tcPr>
            <w:tcW w:w="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5338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1839" w:type="dxa"/>
            <w:vMerge w:val="restart"/>
          </w:tcPr>
          <w:p w:rsidR="00AF7A57" w:rsidRPr="00AF7A57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Электронное оборудование</w:t>
            </w:r>
          </w:p>
        </w:tc>
      </w:tr>
      <w:tr w:rsidR="00AF7A57" w:rsidTr="00AF7A57">
        <w:trPr>
          <w:trHeight w:val="144"/>
          <w:tblCellSpacing w:w="20" w:type="nil"/>
        </w:trPr>
        <w:tc>
          <w:tcPr>
            <w:tcW w:w="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A57" w:rsidRDefault="00AF7A57"/>
        </w:tc>
        <w:tc>
          <w:tcPr>
            <w:tcW w:w="2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A57" w:rsidRDefault="00AF7A57"/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3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A57" w:rsidRDefault="00AF7A57"/>
        </w:tc>
        <w:tc>
          <w:tcPr>
            <w:tcW w:w="1839" w:type="dxa"/>
            <w:vMerge/>
          </w:tcPr>
          <w:p w:rsidR="00AF7A57" w:rsidRDefault="00AF7A57"/>
        </w:tc>
      </w:tr>
      <w:tr w:rsidR="00AF7A57" w:rsidTr="00AF7A57">
        <w:trPr>
          <w:trHeight w:val="144"/>
          <w:tblCellSpacing w:w="20" w:type="nil"/>
        </w:trPr>
        <w:tc>
          <w:tcPr>
            <w:tcW w:w="11993" w:type="dxa"/>
            <w:gridSpan w:val="6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839" w:type="dxa"/>
          </w:tcPr>
          <w:p w:rsidR="00AF7A57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AF7A57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лаборатория по химии</w:t>
            </w:r>
          </w:p>
          <w:p w:rsidR="00AF7A57" w:rsidRPr="004C0FFD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Л.р</w:t>
            </w:r>
            <w:proofErr w:type="spellEnd"/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rPr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ind w:left="135"/>
              <w:rPr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химические реакции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ind w:left="135"/>
              <w:jc w:val="center"/>
              <w:rPr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ind w:left="135"/>
              <w:jc w:val="center"/>
              <w:rPr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лаборатория по химии</w:t>
            </w:r>
          </w:p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1,2</w:t>
            </w:r>
          </w:p>
        </w:tc>
      </w:tr>
      <w:tr w:rsidR="00AF7A57" w:rsidRPr="00AF7A57" w:rsidTr="00AF7A57">
        <w:trPr>
          <w:trHeight w:val="144"/>
          <w:tblCellSpacing w:w="20" w:type="nil"/>
        </w:trPr>
        <w:tc>
          <w:tcPr>
            <w:tcW w:w="3489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ind w:left="135"/>
              <w:rPr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ind w:left="135"/>
              <w:jc w:val="center"/>
              <w:rPr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7371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AF7A57" w:rsidRPr="00AF7A57" w:rsidRDefault="00AF7A57">
            <w:pPr>
              <w:rPr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11993" w:type="dxa"/>
            <w:gridSpan w:val="6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Pr="00AF7A57" w:rsidRDefault="00AF7A57">
            <w:pPr>
              <w:spacing w:after="0"/>
              <w:rPr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Водород.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AF7A57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лаборатория по химии</w:t>
            </w:r>
          </w:p>
          <w:p w:rsidR="00AF7A57" w:rsidRPr="004C0FFD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Л.р.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</w:tr>
      <w:tr w:rsidR="00AF7A57" w:rsidTr="00AF7A57">
        <w:trPr>
          <w:trHeight w:val="144"/>
          <w:tblCellSpacing w:w="20" w:type="nil"/>
        </w:trPr>
        <w:tc>
          <w:tcPr>
            <w:tcW w:w="3489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7371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1839" w:type="dxa"/>
          </w:tcPr>
          <w:p w:rsidR="00AF7A57" w:rsidRDefault="00AF7A57"/>
        </w:tc>
      </w:tr>
      <w:tr w:rsidR="00AF7A57" w:rsidTr="00AF7A57">
        <w:trPr>
          <w:trHeight w:val="144"/>
          <w:tblCellSpacing w:w="20" w:type="nil"/>
        </w:trPr>
        <w:tc>
          <w:tcPr>
            <w:tcW w:w="11993" w:type="dxa"/>
            <w:gridSpan w:val="6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3489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AF7A57">
        <w:trPr>
          <w:trHeight w:val="144"/>
          <w:tblCellSpacing w:w="20" w:type="nil"/>
        </w:trPr>
        <w:tc>
          <w:tcPr>
            <w:tcW w:w="3489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Tr="00AF7A57">
        <w:trPr>
          <w:trHeight w:val="144"/>
          <w:tblCellSpacing w:w="20" w:type="nil"/>
        </w:trPr>
        <w:tc>
          <w:tcPr>
            <w:tcW w:w="3489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6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1839" w:type="dxa"/>
          </w:tcPr>
          <w:p w:rsidR="00AF7A57" w:rsidRDefault="00AF7A57"/>
        </w:tc>
      </w:tr>
    </w:tbl>
    <w:p w:rsidR="008E677B" w:rsidRDefault="008E677B">
      <w:pPr>
        <w:sectPr w:rsidR="008E6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77B" w:rsidRDefault="00AF7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387"/>
        <w:gridCol w:w="1197"/>
        <w:gridCol w:w="1841"/>
        <w:gridCol w:w="1910"/>
        <w:gridCol w:w="2824"/>
        <w:gridCol w:w="1839"/>
      </w:tblGrid>
      <w:tr w:rsidR="00AF7A57" w:rsidTr="00BE7222">
        <w:trPr>
          <w:trHeight w:val="144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3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4948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1839" w:type="dxa"/>
          </w:tcPr>
          <w:p w:rsidR="00AF7A57" w:rsidRPr="00AF7A57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Цифровое оборудование</w:t>
            </w:r>
          </w:p>
        </w:tc>
      </w:tr>
      <w:tr w:rsidR="00AF7A57" w:rsidTr="00BE7222">
        <w:trPr>
          <w:trHeight w:val="144"/>
          <w:tblCellSpacing w:w="20" w:type="nil"/>
        </w:trPr>
        <w:tc>
          <w:tcPr>
            <w:tcW w:w="8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A57" w:rsidRDefault="00AF7A57"/>
        </w:tc>
        <w:tc>
          <w:tcPr>
            <w:tcW w:w="3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A57" w:rsidRDefault="00AF7A57"/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A57" w:rsidRDefault="00AF7A57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A57" w:rsidRDefault="00AF7A57"/>
        </w:tc>
        <w:tc>
          <w:tcPr>
            <w:tcW w:w="1839" w:type="dxa"/>
            <w:tcBorders>
              <w:top w:val="nil"/>
            </w:tcBorders>
          </w:tcPr>
          <w:p w:rsidR="00AF7A57" w:rsidRDefault="00AF7A57"/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11993" w:type="dxa"/>
            <w:gridSpan w:val="6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AF7A57" w:rsidRPr="004C0FFD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AF7A57" w:rsidRPr="00AF7A57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лаборатория по химии</w:t>
            </w:r>
          </w:p>
          <w:p w:rsidR="00AF7A57" w:rsidRPr="004C0FFD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Л.р.9-14</w:t>
            </w:r>
          </w:p>
        </w:tc>
      </w:tr>
      <w:tr w:rsidR="00AF7A57" w:rsidTr="00BE7222">
        <w:trPr>
          <w:trHeight w:val="144"/>
          <w:tblCellSpacing w:w="20" w:type="nil"/>
        </w:trPr>
        <w:tc>
          <w:tcPr>
            <w:tcW w:w="4221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1839" w:type="dxa"/>
          </w:tcPr>
          <w:p w:rsidR="00AF7A57" w:rsidRDefault="00AF7A57"/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11993" w:type="dxa"/>
            <w:gridSpan w:val="6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AF7A57" w:rsidRPr="00AF7A57" w:rsidRDefault="00AF7A57" w:rsidP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лаборатория по химии</w:t>
            </w:r>
          </w:p>
          <w:p w:rsidR="00AF7A57" w:rsidRPr="004C0FFD" w:rsidRDefault="00AF7A57" w:rsidP="00BE72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7A57">
              <w:rPr>
                <w:rFonts w:ascii="Times New Roman" w:hAnsi="Times New Roman"/>
                <w:color w:val="000000"/>
                <w:sz w:val="24"/>
                <w:lang w:val="ru-RU"/>
              </w:rPr>
              <w:t>Л.р.</w:t>
            </w:r>
            <w:r w:rsidR="00BE7222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BE7222" w:rsidRPr="00BE7222" w:rsidRDefault="00BE7222" w:rsidP="00BE72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7222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лаборатория по химии</w:t>
            </w:r>
          </w:p>
          <w:p w:rsidR="00AF7A57" w:rsidRPr="004C0FFD" w:rsidRDefault="00BE7222" w:rsidP="00BE72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Л.р.17</w:t>
            </w: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Tr="00BE7222">
        <w:trPr>
          <w:trHeight w:val="144"/>
          <w:tblCellSpacing w:w="20" w:type="nil"/>
        </w:trPr>
        <w:tc>
          <w:tcPr>
            <w:tcW w:w="4221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1839" w:type="dxa"/>
          </w:tcPr>
          <w:p w:rsidR="00AF7A57" w:rsidRDefault="00AF7A57"/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11993" w:type="dxa"/>
            <w:gridSpan w:val="6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BE7222" w:rsidRPr="00BE7222" w:rsidRDefault="00BE7222" w:rsidP="00BE72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7222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лаборатория по химии</w:t>
            </w:r>
          </w:p>
          <w:p w:rsidR="00AF7A57" w:rsidRPr="004C0FFD" w:rsidRDefault="00BE7222" w:rsidP="00BE72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7222">
              <w:rPr>
                <w:rFonts w:ascii="Times New Roman" w:hAnsi="Times New Roman"/>
                <w:color w:val="000000"/>
                <w:sz w:val="24"/>
                <w:lang w:val="ru-RU"/>
              </w:rPr>
              <w:t>Л.р.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Tr="00BE7222">
        <w:trPr>
          <w:trHeight w:val="144"/>
          <w:tblCellSpacing w:w="20" w:type="nil"/>
        </w:trPr>
        <w:tc>
          <w:tcPr>
            <w:tcW w:w="4221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1839" w:type="dxa"/>
          </w:tcPr>
          <w:p w:rsidR="00AF7A57" w:rsidRDefault="00AF7A57"/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11993" w:type="dxa"/>
            <w:gridSpan w:val="6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BE7222" w:rsidRPr="00BE7222" w:rsidRDefault="00BE7222" w:rsidP="00BE72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7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Цифровая лаборатория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экологии</w:t>
            </w:r>
          </w:p>
          <w:p w:rsidR="00AF7A57" w:rsidRPr="004C0FFD" w:rsidRDefault="00AF7A57" w:rsidP="00BE72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Tr="00BE7222">
        <w:trPr>
          <w:trHeight w:val="144"/>
          <w:tblCellSpacing w:w="20" w:type="nil"/>
        </w:trPr>
        <w:tc>
          <w:tcPr>
            <w:tcW w:w="4221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1839" w:type="dxa"/>
          </w:tcPr>
          <w:p w:rsidR="00AF7A57" w:rsidRDefault="00AF7A57"/>
        </w:tc>
      </w:tr>
      <w:tr w:rsidR="00AF7A57" w:rsidRPr="004C0FFD" w:rsidTr="00BE7222">
        <w:trPr>
          <w:trHeight w:val="144"/>
          <w:tblCellSpacing w:w="20" w:type="nil"/>
        </w:trPr>
        <w:tc>
          <w:tcPr>
            <w:tcW w:w="4221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1839" w:type="dxa"/>
          </w:tcPr>
          <w:p w:rsidR="00AF7A57" w:rsidRPr="004C0FFD" w:rsidRDefault="00AF7A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7A57" w:rsidTr="00BE7222">
        <w:trPr>
          <w:trHeight w:val="144"/>
          <w:tblCellSpacing w:w="20" w:type="nil"/>
        </w:trPr>
        <w:tc>
          <w:tcPr>
            <w:tcW w:w="4221" w:type="dxa"/>
            <w:gridSpan w:val="2"/>
            <w:tcMar>
              <w:top w:w="50" w:type="dxa"/>
              <w:left w:w="100" w:type="dxa"/>
            </w:tcMar>
            <w:vAlign w:val="center"/>
          </w:tcPr>
          <w:p w:rsidR="00AF7A57" w:rsidRPr="004C0FFD" w:rsidRDefault="00AF7A57">
            <w:pPr>
              <w:spacing w:after="0"/>
              <w:ind w:left="135"/>
              <w:rPr>
                <w:lang w:val="ru-RU"/>
              </w:rPr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 w:rsidRPr="004C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A57" w:rsidRDefault="00AF7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7A57" w:rsidRDefault="00AF7A57"/>
        </w:tc>
        <w:tc>
          <w:tcPr>
            <w:tcW w:w="1839" w:type="dxa"/>
          </w:tcPr>
          <w:p w:rsidR="00AF7A57" w:rsidRDefault="00AF7A57"/>
        </w:tc>
      </w:tr>
    </w:tbl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Учебно-методическое обеспечение курса химии</w:t>
      </w: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основной общеобразовательной школы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 учебно-методические и дидактические пособия, тетради для выполнения лабораторных и практических работ и др.</w:t>
      </w: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УМК «Химия. 8 класс»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Химия. 8 класс. Учебник (авторы О. С. Габриелян, И. Г. Остроумов, С.А. Сладков).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Методическое пособие. 8 класс (авторы О. С. Габриелян, И. Г. Остроумов, С. А. Сладков).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Рабочая тетрадь. 8 класс (авторы О. С. Габриелян, С. А. Сладков).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5. Тетрадь для лабораторных опытов и практических работ. 8 класс (авторы О. С. Габриелян, И. В. Аксёнова).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6. Химия в тестах, задачах и упражнениях. 8 класс (авторы О. С. Габриелян,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В.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Тригубчак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7. Электронная форма учебника.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УМК «Химия. 9 класс»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Химия. 9 класс. Учебник (авторы О. С. Габриелян, И. Г. Остроумов, С. А. Сладков).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Методическое пособие. 9 класс (авторы О. С. Габриелян, И. Г. Остроумов, С. А. Сладков).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Рабочая тетрадь. 9 класс (авторы О. С. Габриелян, С. А. Сладков).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5. Тетрадь для лабораторных опытов и практических работ. 9 класс (авторы О. С. Габриелян, И. В. Аксёнова).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6. Химия в тестах, задачах и упражнениях. 9 класс (авторы О.С. Габриелян,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В.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Тригубчак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7. Электронная форма учебника.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Информационные средства</w:t>
      </w: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Интернет-ресурсы на русском языке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1. http://www.alhimik.ru. Представлены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2. http://www.hij.ru. Журнал «Химия и жизнь» понятно и занимательно рассказывает обо всём интересном, что происходит в науке и мире, в котором мы живём.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http://chemistry-chemists.com/index.html.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http://c-books.narod.ru. Всевозможная литература по химии.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http://www.prosv.ru/. Пособия для учащихся, в том числе для подготовки к итоговой аттестации (ОГЭ и ЕГЭ), методические пособия для учителей, научно-популярная литература по химии. 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http://1september.ru/.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 http://schoolbase.ru/articles/items/ximiya. Всероссийский школьный портал со ссылками на образовательные сайты по химии.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8. www.periodictable.ru. Сборник статей о химических элементах, иллюстрированный экспериментом.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Интернет-ресурс на английском языке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http://webelementes.com. Содержит историю открытия и описание свойств всех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Объекты учебных экскурсий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Музеи: минералогические, краеведческие, художественные, Политехнический.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Лаборатории: учебных заведений,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агрохимлаборатории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экологические, санитарно-эпидемиологические. 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Аптеки.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Производственные объекты: химические заводы, водоочистные сооружения и другие местные производства.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Материально-техническое обеспечение кабинета химии</w:t>
      </w: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Натуральные объекты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Натуральные объекты, используемые в 8—9 классах при обучении химии, включают в себя коллекции минералов и горных пород, металлов и сплавов, оксидов, кислот, оснований, солей, в том числе минеральных удобрений, а также образцы органических веществ и материалов, предусмотренных ФГОС. Ознакомление с образцами исходных веществ и готовых изделий позволяет получить наглядные представления о материале, внешнем виде, некоторых физических свойствах образцов. Значительные учебно-познавательные возможности имеют коллекции, изготовленные самими школьниками. Предметы для таких коллекций собираются во время экскурсий и других внеурочных занятий.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Коллекции используют только для ознакомления учащихся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Химические реактивы и материалы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Обращение со многими веществами требует строгого соблюдения правил техники безопасности, особенно при выполнении опытов самими учениками.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учреждения общего образования централизованно в виде заранее скомплектованных наборов. При необходимости приобретения дополнительных реактивов и материалов следует обращаться в специализированные магазины.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Химическая лабораторная посуда, аппараты и приборы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Химическая посуда подразделяется на две группы: для выполнения опытов учащимися и для демонстрационных опытов.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Используемые на уроках химии в 8—9 классах приборы, аппараты и установки классифицируют на основе протекающих в них физических и химических процессов между веществами, находящимися в разных агрегатных состояниях.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Вне этой классификации находится учебная аппаратура, </w:t>
      </w:r>
      <w:proofErr w:type="gram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пред-назначенная</w:t>
      </w:r>
      <w:proofErr w:type="gram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изучения теоретических вопросов химии: иллюстрации закона сохранения массы веществ, демонстрации электропроводности растворов и движения ионов в электрическом поле, изучения скорости химической реакции, последовательности вытеснения галогенов из растворов их соединений.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Модели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 модели кристаллических решёток алмаза, графита, серы, фосфора, оксида углерода(IV),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иода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железа, меди, магния. 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Выпускаются наборы моделей атомов для составления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шаростержневых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моделей молекул.</w:t>
      </w: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Печатные учебные пособия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Экранно-звуковые средства обучения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экранно-звуковым средствам обучения относят такие пособия, которые могут быть восприняты с помощью зрения и слуха. Это кинофильмы, кинофрагменты, диафильмы, диапозитивы (слайды), транспаранты для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графопроектора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. Серии транспарантов позволяют имитировать движение путём последовательного наложения одного транспаранта на другой.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Технические средства обучения (ТСО)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Большинство технических средств обучения не разрабатывалось специально для школы, а предназначалось для передачи и обработки информации — это различного рода проекторы, телевизоры, компьютеры и т. д. В учебно-воспитательном процессе компьютер может использоваться для решения задач научной организации труда учителя.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учащихся на персональном компьютере. Количество уроков с использованием таких технических средств обучения, как телевизор, мультимедийный проектор, интерактивная доска, документ-камера, не должно превышать шести уроков в неделю, а число уроков, на которых ученики работают за персональным компьютером, — трёх в неделю.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Оборудование кабинета химии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 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Учебные доски должны быть изготовлены из материалов, имеющих высокую адгезию к материалам, используемым для письма, хорошо очищаться влажной губкой, быть износостойкими, иметь темно-зелёный цвет и 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учащихся.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превышать 15 см (от подоконника). Растения целесообразно размещать в переносных цветочницах высотой 65—70 см или подвесных кашпо в простенках между окнами.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использовать светлые тона жёлтого, бежевого, розового, зелёного, голубого цветов; для дверей, оконных рам — белый цвет.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Кабинет химии должен быть оснащён холодным и горячим водоснабжением и канализацией.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кабинете химии обязательно должна быть аптечка, в которую входят: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1. Жгут кровоостанавливающий, резиновый — 1 шт.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2. Пузырь для льда — 1 шт. (гипотермический пакет — 1 шт.).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3. Бинт стерильный, широкий 7 × 14 см — 2 шт.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4. Бинт стерильный 3 × 5 см — 2 шт.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5. Бинт нестерильный — 1 шт.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6. Салфетки стерильные — 2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уп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7. Вата стерильная — 1 пачка.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8. Лейкопластырь шириной 2 см — 1 катушка, 5 см — 1 катушка.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9. Бактерицидный лейкопластырь разных размеров — 20 шт.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Спиртовой раствор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иода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5 %-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ный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— 1 флакон.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Водный раствор аммиака (нашатырный спирт) в ампулах — 1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уп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12. Раствор пероксида водорода 3 %-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ный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— 1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уп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13. Перманганат калия кристаллический — 1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уп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Анальгин 0,5 г в таблетках — 1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уп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15. Настойка валерианы — 1 </w:t>
      </w:r>
      <w:proofErr w:type="spellStart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уп</w:t>
      </w:r>
      <w:proofErr w:type="spellEnd"/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E7222" w:rsidRPr="00BE7222" w:rsidRDefault="00BE7222" w:rsidP="00BE7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7222">
        <w:rPr>
          <w:rFonts w:ascii="Times New Roman" w:eastAsia="Calibri" w:hAnsi="Times New Roman" w:cs="Times New Roman"/>
          <w:sz w:val="24"/>
          <w:szCs w:val="24"/>
          <w:lang w:val="ru-RU"/>
        </w:rPr>
        <w:t>16. Ножницы — 1 шт.</w:t>
      </w:r>
    </w:p>
    <w:p w:rsidR="00BE7222" w:rsidRPr="00BE7222" w:rsidRDefault="00BE7222" w:rsidP="00BE7222">
      <w:pPr>
        <w:spacing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BE7222">
        <w:rPr>
          <w:rFonts w:ascii="Times New Roman" w:eastAsia="Calibri" w:hAnsi="Times New Roman" w:cs="Times New Roman"/>
          <w:b/>
          <w:lang w:val="ru-RU"/>
        </w:rPr>
        <w:t> </w:t>
      </w:r>
    </w:p>
    <w:p w:rsidR="008E677B" w:rsidRDefault="00BE7222">
      <w:pPr>
        <w:rPr>
          <w:lang w:val="ru-RU"/>
        </w:rPr>
      </w:pPr>
      <w:r>
        <w:rPr>
          <w:lang w:val="ru-RU"/>
        </w:rPr>
        <w:t>Цифровое оборудование</w:t>
      </w:r>
    </w:p>
    <w:p w:rsidR="00BE7222" w:rsidRDefault="00BE7222">
      <w:pPr>
        <w:rPr>
          <w:lang w:val="ru-RU"/>
        </w:rPr>
      </w:pPr>
    </w:p>
    <w:p w:rsidR="00BE7222" w:rsidRDefault="00BE7222" w:rsidP="00BE7222">
      <w:pPr>
        <w:pStyle w:val="ae"/>
        <w:numPr>
          <w:ilvl w:val="0"/>
          <w:numId w:val="3"/>
        </w:numPr>
        <w:rPr>
          <w:lang w:val="ru-RU"/>
        </w:rPr>
      </w:pPr>
      <w:r>
        <w:rPr>
          <w:lang w:val="ru-RU"/>
        </w:rPr>
        <w:t>Цифровая лаборатория по химии с датчиками</w:t>
      </w:r>
    </w:p>
    <w:p w:rsidR="008E677B" w:rsidRPr="00BE7222" w:rsidRDefault="00BE7222" w:rsidP="0048699E">
      <w:pPr>
        <w:pStyle w:val="ae"/>
        <w:numPr>
          <w:ilvl w:val="0"/>
          <w:numId w:val="3"/>
        </w:numPr>
        <w:rPr>
          <w:lang w:val="ru-RU"/>
        </w:rPr>
        <w:sectPr w:rsidR="008E677B" w:rsidRPr="00BE7222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E7222">
        <w:rPr>
          <w:lang w:val="ru-RU"/>
        </w:rPr>
        <w:t>Цифровая лаборатория по экологии  с датчиками</w:t>
      </w:r>
    </w:p>
    <w:p w:rsidR="008E677B" w:rsidRDefault="00AF7A57" w:rsidP="00AF7A57">
      <w:pPr>
        <w:spacing w:after="0"/>
        <w:ind w:left="120"/>
      </w:pPr>
      <w:bookmarkStart w:id="10" w:name="block-2378028"/>
      <w:bookmarkEnd w:id="9"/>
      <w:r>
        <w:rPr>
          <w:rFonts w:ascii="Times New Roman" w:hAnsi="Times New Roman"/>
          <w:color w:val="000000"/>
          <w:sz w:val="28"/>
        </w:rPr>
        <w:lastRenderedPageBreak/>
        <w:t>​</w:t>
      </w:r>
    </w:p>
    <w:p w:rsidR="008E677B" w:rsidRDefault="008E677B">
      <w:pPr>
        <w:sectPr w:rsidR="008E677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F7A57" w:rsidRDefault="00AF7A57"/>
    <w:sectPr w:rsidR="00AF7A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B3CF3"/>
    <w:multiLevelType w:val="multilevel"/>
    <w:tmpl w:val="EEC24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E23DCD"/>
    <w:multiLevelType w:val="multilevel"/>
    <w:tmpl w:val="5CF0B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B231A"/>
    <w:multiLevelType w:val="hybridMultilevel"/>
    <w:tmpl w:val="680A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7B"/>
    <w:rsid w:val="00202050"/>
    <w:rsid w:val="004C0FFD"/>
    <w:rsid w:val="008E677B"/>
    <w:rsid w:val="00AF7A57"/>
    <w:rsid w:val="00BE7222"/>
    <w:rsid w:val="00D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1DB8"/>
  <w15:docId w15:val="{631C015C-5A7A-45A3-AE94-B2FDEF0D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BE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8806</Words>
  <Characters>50198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Sharagina Natalya</cp:lastModifiedBy>
  <cp:revision>3</cp:revision>
  <dcterms:created xsi:type="dcterms:W3CDTF">2023-11-13T20:02:00Z</dcterms:created>
  <dcterms:modified xsi:type="dcterms:W3CDTF">2023-11-13T20:03:00Z</dcterms:modified>
</cp:coreProperties>
</file>